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293F" w:sz="6" w:space="6"/>
        </w:pBdr>
        <w:shd w:fill="F3EEE4" w:color="auto" w:val="clear"/>
        <w:spacing w:after="60" w:line="280"/>
        <w:ind w:left="200" w:right="200"/>
        <w:jc w:val="left"/>
      </w:pPr>
      <w:r>
        <w:rPr>
          <w:rFonts w:ascii="Georgia" w:cs="Georgia" w:eastAsia="Georgia" w:hAnsi="Georgia"/>
          <w:b/>
          <w:bCs/>
          <w:sz w:val="20"/>
          <w:szCs w:val="20"/>
        </w:rPr>
        <w:t xml:space="preserve">INSTRUCCIONES PARA EL VECINO/A — BORRAR ESTE RECUADRO ANTES DE ENVIAR</w:t>
      </w:r>
    </w:p>
    <w:p>
      <w:pPr>
        <w:shd w:fill="F3EEE4" w:color="auto" w:val="clear"/>
        <w:spacing w:after="60" w:line="280"/>
        <w:ind w:left="200" w:right="200"/>
        <w:jc w:val="left"/>
      </w:pPr>
      <w:r>
        <w:rPr>
          <w:rFonts w:ascii="Georgia" w:cs="Georgia" w:eastAsia="Georgia" w:hAnsi="Georgia"/>
          <w:sz w:val="20"/>
          <w:szCs w:val="20"/>
        </w:rPr>
        <w:t xml:space="preserve">1. Sustituid los campos en </w:t>
      </w:r>
      <w:r>
        <w:rPr>
          <w:rFonts w:ascii="Georgia" w:cs="Georgia" w:eastAsia="Georgia" w:hAnsi="Georgia"/>
          <w:b/>
          <w:bCs/>
          <w:sz w:val="20"/>
          <w:szCs w:val="20"/>
        </w:rPr>
        <w:t xml:space="preserve">rojo entre corchetes</w:t>
      </w:r>
      <w:r>
        <w:rPr>
          <w:rFonts w:ascii="Georgia" w:cs="Georgia" w:eastAsia="Georgia" w:hAnsi="Georgia"/>
          <w:sz w:val="20"/>
          <w:szCs w:val="20"/>
        </w:rPr>
        <w:t xml:space="preserve"> por vuestros datos y los de la vivienda. Si no conocéis la fecha del deslinde, borrad esa frase. El resto del texto puede enviarse tal cual: contiene todas las alegaciones desarrolladas.</w:t>
      </w:r>
    </w:p>
    <w:p>
      <w:pPr>
        <w:shd w:fill="F3EEE4" w:color="auto" w:val="clear"/>
        <w:spacing w:after="60" w:line="280"/>
        <w:ind w:left="200" w:right="200"/>
        <w:jc w:val="left"/>
      </w:pPr>
      <w:r>
        <w:rPr>
          <w:rFonts w:ascii="Georgia" w:cs="Georgia" w:eastAsia="Georgia" w:hAnsi="Georgia"/>
          <w:sz w:val="20"/>
          <w:szCs w:val="20"/>
        </w:rPr>
        <w:t xml:space="preserve">2. Podéis presentarlo aunque vuestra asociación no presente escrito propio. No añadáis datos sobre obras o retroceso de la playa que no estén contrastados.</w:t>
      </w:r>
    </w:p>
    <w:p>
      <w:pPr>
        <w:shd w:fill="F3EEE4" w:color="auto" w:val="clear"/>
        <w:spacing w:after="60" w:line="280"/>
        <w:ind w:left="200" w:right="200"/>
        <w:jc w:val="left"/>
      </w:pPr>
      <w:r>
        <w:rPr>
          <w:rFonts w:ascii="Georgia" w:cs="Georgia" w:eastAsia="Georgia" w:hAnsi="Georgia"/>
          <w:sz w:val="20"/>
          <w:szCs w:val="20"/>
        </w:rPr>
        <w:t xml:space="preserve">3. Guardad el escrito en PDF y enviadlo </w:t>
      </w:r>
      <w:r>
        <w:rPr>
          <w:rFonts w:ascii="Georgia" w:cs="Georgia" w:eastAsia="Georgia" w:hAnsi="Georgia"/>
          <w:b/>
          <w:bCs/>
          <w:sz w:val="20"/>
          <w:szCs w:val="20"/>
        </w:rPr>
        <w:t xml:space="preserve">antes del miércoles 16 de septiembre de 2026</w:t>
      </w:r>
      <w:r>
        <w:rPr>
          <w:rFonts w:ascii="Georgia" w:cs="Georgia" w:eastAsia="Georgia" w:hAnsi="Georgia"/>
          <w:sz w:val="20"/>
          <w:szCs w:val="20"/>
        </w:rPr>
        <w:t xml:space="preserve"> por correo electrónico a </w:t>
      </w:r>
      <w:r>
        <w:rPr>
          <w:rFonts w:ascii="Georgia" w:cs="Georgia" w:eastAsia="Georgia" w:hAnsi="Georgia"/>
          <w:b/>
          <w:bCs/>
          <w:sz w:val="20"/>
          <w:szCs w:val="20"/>
        </w:rPr>
        <w:t xml:space="preserve">Bzn-sgpagr@miteco.es</w:t>
      </w:r>
      <w:r>
        <w:rPr>
          <w:rFonts w:ascii="Georgia" w:cs="Georgia" w:eastAsia="Georgia" w:hAnsi="Georgia"/>
          <w:sz w:val="20"/>
          <w:szCs w:val="20"/>
        </w:rPr>
        <w:t xml:space="preserve"> con el asunto exacto: </w:t>
      </w:r>
      <w:r>
        <w:rPr>
          <w:rFonts w:ascii="Georgia" w:cs="Georgia" w:eastAsia="Georgia" w:hAnsi="Georgia"/>
          <w:b/>
          <w:bCs/>
          <w:sz w:val="20"/>
          <w:szCs w:val="20"/>
        </w:rPr>
        <w:t xml:space="preserve">Observaciones al Real Decreto gestión riesgo inundación 2026</w:t>
      </w:r>
      <w:r>
        <w:rPr>
          <w:rFonts w:ascii="Georgia" w:cs="Georgia" w:eastAsia="Georgia" w:hAnsi="Georgia"/>
          <w:sz w:val="20"/>
          <w:szCs w:val="20"/>
        </w:rPr>
        <w:t xml:space="preserve">. Adjuntad también el PDF del escrito de alegaciones de la Federació Mar Nostra.</w:t>
      </w:r>
    </w:p>
    <w:p>
      <w:pPr>
        <w:shd w:fill="F3EEE4" w:color="auto" w:val="clear"/>
        <w:spacing w:after="60" w:line="280"/>
        <w:ind w:left="200" w:right="200"/>
        <w:jc w:val="left"/>
      </w:pPr>
      <w:r>
        <w:rPr>
          <w:rFonts w:ascii="Georgia" w:cs="Georgia" w:eastAsia="Georgia" w:hAnsi="Georgia"/>
          <w:sz w:val="20"/>
          <w:szCs w:val="20"/>
        </w:rPr>
        <w:t xml:space="preserve">4. Recomendable: presentarlo además por el Registro Electrónico General (rec.redsara.es), dirigido al Ministerio para la Transición Ecológica y el Reto Demográfico – Dirección General del Agua, para tener justificante con fecha. Guardad el correo enviado.</w:t>
      </w:r>
    </w:p>
    <w:p>
      <w:pPr>
        <w:pBdr>
          <w:bottom w:val="single" w:color="16293F" w:sz="6" w:space="6"/>
        </w:pBdr>
        <w:shd w:fill="F3EEE4" w:color="auto" w:val="clear"/>
        <w:spacing w:after="60" w:line="280"/>
        <w:ind w:left="200" w:right="200"/>
        <w:jc w:val="left"/>
      </w:pPr>
      <w:r>
        <w:rPr>
          <w:rFonts w:ascii="Georgia" w:cs="Georgia" w:eastAsia="Georgia" w:hAnsi="Georgia"/>
          <w:sz w:val="20"/>
          <w:szCs w:val="20"/>
        </w:rPr>
        <w:t xml:space="preserve">5. Enviad copia del PDF presentado a federaciomarnostra@gmail.com para que la Federación lleve el registro de escritos presentados.</w:t>
      </w:r>
    </w:p>
    <w:p>
      <w:pPr>
        <w:spacing w:after="60"/>
      </w:pPr>
      <w:r>
        <w:rPr>
          <w:rFonts w:ascii="Georgia" w:cs="Georgia" w:eastAsia="Georgia" w:hAnsi="Georgia"/>
          <w:sz w:val="22"/>
          <w:szCs w:val="22"/>
        </w:rPr>
        <w:t xml:space="preserve"/>
      </w:r>
    </w:p>
    <w:p>
      <w:pPr>
        <w:spacing w:after="140"/>
        <w:jc w:val="left"/>
      </w:pPr>
      <w:r>
        <w:rPr>
          <w:rFonts w:ascii="Georgia" w:cs="Georgia" w:eastAsia="Georgia" w:hAnsi="Georgia"/>
          <w:b/>
          <w:bCs/>
          <w:sz w:val="22"/>
          <w:szCs w:val="22"/>
        </w:rPr>
        <w:t xml:space="preserve">A LA DIRECCIÓN GENERAL DEL AGUA</w:t>
      </w:r>
      <w:r>
        <w:rPr>
          <w:rFonts w:ascii="Georgia" w:cs="Georgia" w:eastAsia="Georgia" w:hAnsi="Georgia"/>
          <w:sz w:val="22"/>
          <w:szCs w:val="22"/>
        </w:rPr>
        <w:t xml:space="preserve"> — Secretaría de Estado de Medio Ambiente — Ministerio para la Transición Ecológica y el Reto Demográfico (Bzn-sgpagr@miteco.es). Con copia a la Dirección General de la Costa y el Mar.</w:t>
      </w:r>
    </w:p>
    <w:p>
      <w:pPr>
        <w:spacing w:after="40"/>
        <w:jc w:val="left"/>
      </w:pPr>
      <w:r>
        <w:rPr>
          <w:rFonts w:ascii="Georgia" w:cs="Georgia" w:eastAsia="Georgia" w:hAnsi="Georgia"/>
          <w:b/>
          <w:bCs/>
          <w:sz w:val="22"/>
          <w:szCs w:val="22"/>
        </w:rPr>
        <w:t xml:space="preserve">Asunto:</w:t>
      </w:r>
      <w:r>
        <w:rPr>
          <w:rFonts w:ascii="Georgia" w:cs="Georgia" w:eastAsia="Georgia" w:hAnsi="Georgia"/>
          <w:sz w:val="22"/>
          <w:szCs w:val="22"/>
        </w:rPr>
        <w:t xml:space="preserve"> Observaciones al Real Decreto gestión riesgo inundación 2026</w:t>
      </w:r>
    </w:p>
    <w:p>
      <w:pPr>
        <w:spacing w:after="140"/>
        <w:jc w:val="left"/>
      </w:pPr>
      <w:r>
        <w:rPr>
          <w:rFonts w:ascii="Georgia" w:cs="Georgia" w:eastAsia="Georgia" w:hAnsi="Georgia"/>
          <w:b/>
          <w:bCs/>
          <w:sz w:val="22"/>
          <w:szCs w:val="22"/>
        </w:rPr>
        <w:t xml:space="preserve">Trámite:</w:t>
      </w:r>
      <w:r>
        <w:rPr>
          <w:rFonts w:ascii="Georgia" w:cs="Georgia" w:eastAsia="Georgia" w:hAnsi="Georgia"/>
          <w:sz w:val="22"/>
          <w:szCs w:val="22"/>
        </w:rPr>
        <w:t xml:space="preserve"> Audiencia e información pública del proyecto de real decreto por el que se adoptan medidas de gestión de los riesgos de inundación (versión de 16.07.2026; plazo 16.07.2026 – 16.09.2026). </w:t>
      </w:r>
      <w:r>
        <w:rPr>
          <w:rFonts w:ascii="Georgia" w:cs="Georgia" w:eastAsia="Georgia" w:hAnsi="Georgia"/>
          <w:b/>
          <w:bCs/>
          <w:sz w:val="22"/>
          <w:szCs w:val="22"/>
        </w:rPr>
        <w:t xml:space="preserve">Objeto:</w:t>
      </w:r>
      <w:r>
        <w:rPr>
          <w:rFonts w:ascii="Georgia" w:cs="Georgia" w:eastAsia="Georgia" w:hAnsi="Georgia"/>
          <w:sz w:val="22"/>
          <w:szCs w:val="22"/>
        </w:rPr>
        <w:t xml:space="preserve"> artículo 4 del proyecto (modificación del artículo 4 del Reglamento General de Costas, RD 876/2014) y disposición adicional única.</w:t>
      </w:r>
    </w:p>
    <w:p>
      <w:pPr>
        <w:pStyle w:val="Heading2"/>
        <w:keepNext/>
        <w:spacing w:after="110" w:before="260"/>
      </w:pPr>
      <w:r>
        <w:rPr>
          <w:rFonts w:ascii="Georgia" w:cs="Georgia" w:eastAsia="Georgia" w:hAnsi="Georgia"/>
          <w:b/>
          <w:bCs/>
          <w:color w:val="16293F"/>
          <w:sz w:val="22"/>
          <w:szCs w:val="22"/>
        </w:rPr>
        <w:t xml:space="preserve">ESCRITO DE ALEGACIONES</w:t>
      </w:r>
    </w:p>
    <w:p>
      <w:pPr>
        <w:spacing w:after="140" w:line="300"/>
        <w:jc w:val="both"/>
      </w:pPr>
      <w:r>
        <w:rPr>
          <w:rFonts w:ascii="Georgia" w:cs="Georgia" w:eastAsia="Georgia" w:hAnsi="Georgia"/>
          <w:b/>
          <w:bCs/>
          <w:sz w:val="22"/>
          <w:szCs w:val="22"/>
        </w:rPr>
        <w:t xml:space="preserve">D./D.ª </w:t>
      </w:r>
      <w:r>
        <w:rPr>
          <w:rFonts w:ascii="Georgia" w:cs="Georgia" w:eastAsia="Georgia" w:hAnsi="Georgia"/>
          <w:b/>
          <w:bCs/>
          <w:color w:val="B00020"/>
          <w:sz w:val="22"/>
          <w:szCs w:val="22"/>
        </w:rPr>
        <w:t xml:space="preserve">[NOMBRE Y APELLIDOS]</w:t>
      </w:r>
      <w:r>
        <w:rPr>
          <w:rFonts w:ascii="Georgia" w:cs="Georgia" w:eastAsia="Georgia" w:hAnsi="Georgia"/>
          <w:sz w:val="22"/>
          <w:szCs w:val="22"/>
        </w:rPr>
        <w:t xml:space="preserve">, mayor de edad, con DNI </w:t>
      </w:r>
      <w:r>
        <w:rPr>
          <w:rFonts w:ascii="Georgia" w:cs="Georgia" w:eastAsia="Georgia" w:hAnsi="Georgia"/>
          <w:b/>
          <w:bCs/>
          <w:color w:val="B00020"/>
          <w:sz w:val="22"/>
          <w:szCs w:val="22"/>
        </w:rPr>
        <w:t xml:space="preserve">[DNI]</w:t>
      </w:r>
      <w:r>
        <w:rPr>
          <w:rFonts w:ascii="Georgia" w:cs="Georgia" w:eastAsia="Georgia" w:hAnsi="Georgia"/>
          <w:sz w:val="22"/>
          <w:szCs w:val="22"/>
        </w:rPr>
        <w:t xml:space="preserve">, con domicilio a efectos de notificaciones en </w:t>
      </w:r>
      <w:r>
        <w:rPr>
          <w:rFonts w:ascii="Georgia" w:cs="Georgia" w:eastAsia="Georgia" w:hAnsi="Georgia"/>
          <w:b/>
          <w:bCs/>
          <w:color w:val="B00020"/>
          <w:sz w:val="22"/>
          <w:szCs w:val="22"/>
        </w:rPr>
        <w:t xml:space="preserve">[DIRECCIÓN, CP, MUNICIPIO]</w:t>
      </w:r>
      <w:r>
        <w:rPr>
          <w:rFonts w:ascii="Georgia" w:cs="Georgia" w:eastAsia="Georgia" w:hAnsi="Georgia"/>
          <w:sz w:val="22"/>
          <w:szCs w:val="22"/>
        </w:rPr>
        <w:t xml:space="preserve"> y correo electrónico </w:t>
      </w:r>
      <w:r>
        <w:rPr>
          <w:rFonts w:ascii="Georgia" w:cs="Georgia" w:eastAsia="Georgia" w:hAnsi="Georgia"/>
          <w:b/>
          <w:bCs/>
          <w:color w:val="B00020"/>
          <w:sz w:val="22"/>
          <w:szCs w:val="22"/>
        </w:rPr>
        <w:t xml:space="preserve">[CORREO]</w:t>
      </w:r>
      <w:r>
        <w:rPr>
          <w:rFonts w:ascii="Georgia" w:cs="Georgia" w:eastAsia="Georgia" w:hAnsi="Georgia"/>
          <w:sz w:val="22"/>
          <w:szCs w:val="22"/>
        </w:rPr>
        <w:t xml:space="preserve">, comparece dentro del plazo conferido, al amparo del artículo 26.6 de la Ley 50/1997, del artículo 133 de la Ley 39/2015, de los artículos 3.2.a) y 16 de la Ley 27/2006 y del artículo 8 del Convenio de Aarhus, y</w:t>
      </w:r>
    </w:p>
    <w:p>
      <w:pPr>
        <w:spacing w:after="140" w:line="300"/>
        <w:jc w:val="center"/>
      </w:pPr>
      <w:r>
        <w:rPr>
          <w:rFonts w:ascii="Georgia" w:cs="Georgia" w:eastAsia="Georgia" w:hAnsi="Georgia"/>
          <w:b/>
          <w:bCs/>
          <w:sz w:val="22"/>
          <w:szCs w:val="22"/>
        </w:rPr>
        <w:t xml:space="preserve">EXPONE</w:t>
      </w:r>
    </w:p>
    <w:p>
      <w:pPr>
        <w:pStyle w:val="ListParagraph"/>
        <w:numPr>
          <w:ilvl w:val="0"/>
          <w:numId w:val="2"/>
        </w:numPr>
        <w:spacing w:after="110" w:line="290"/>
        <w:jc w:val="both"/>
      </w:pPr>
      <w:r>
        <w:rPr>
          <w:rFonts w:ascii="Georgia" w:cs="Georgia" w:eastAsia="Georgia" w:hAnsi="Georgia"/>
          <w:sz w:val="22"/>
          <w:szCs w:val="22"/>
        </w:rPr>
        <w:t xml:space="preserve">Que es </w:t>
      </w:r>
      <w:r>
        <w:rPr>
          <w:rFonts w:ascii="Georgia" w:cs="Georgia" w:eastAsia="Georgia" w:hAnsi="Georgia"/>
          <w:b/>
          <w:bCs/>
          <w:color w:val="B00020"/>
          <w:sz w:val="22"/>
          <w:szCs w:val="22"/>
        </w:rPr>
        <w:t xml:space="preserve">[propietario/a — titular de la concesión — residente]</w:t>
      </w:r>
      <w:r>
        <w:rPr>
          <w:rFonts w:ascii="Georgia" w:cs="Georgia" w:eastAsia="Georgia" w:hAnsi="Georgia"/>
          <w:sz w:val="22"/>
          <w:szCs w:val="22"/>
        </w:rPr>
        <w:t xml:space="preserve"> de la vivienda situada en </w:t>
      </w:r>
      <w:r>
        <w:rPr>
          <w:rFonts w:ascii="Georgia" w:cs="Georgia" w:eastAsia="Georgia" w:hAnsi="Georgia"/>
          <w:b/>
          <w:bCs/>
          <w:color w:val="B00020"/>
          <w:sz w:val="22"/>
          <w:szCs w:val="22"/>
        </w:rPr>
        <w:t xml:space="preserve">[DIRECCIÓN DE LA VIVIENDA]</w:t>
      </w:r>
      <w:r>
        <w:rPr>
          <w:rFonts w:ascii="Georgia" w:cs="Georgia" w:eastAsia="Georgia" w:hAnsi="Georgia"/>
          <w:sz w:val="22"/>
          <w:szCs w:val="22"/>
        </w:rPr>
        <w:t xml:space="preserve">, en el frente litoral de </w:t>
      </w:r>
      <w:r>
        <w:rPr>
          <w:rFonts w:ascii="Georgia" w:cs="Georgia" w:eastAsia="Georgia" w:hAnsi="Georgia"/>
          <w:b/>
          <w:bCs/>
          <w:color w:val="B00020"/>
          <w:sz w:val="22"/>
          <w:szCs w:val="22"/>
        </w:rPr>
        <w:t xml:space="preserve">[NOMBRE DE LA PLAYA / NÚCLEO]</w:t>
      </w:r>
      <w:r>
        <w:rPr>
          <w:rFonts w:ascii="Georgia" w:cs="Georgia" w:eastAsia="Georgia" w:hAnsi="Georgia"/>
          <w:sz w:val="22"/>
          <w:szCs w:val="22"/>
        </w:rPr>
        <w:t xml:space="preserve"> (</w:t>
      </w:r>
      <w:r>
        <w:rPr>
          <w:rFonts w:ascii="Georgia" w:cs="Georgia" w:eastAsia="Georgia" w:hAnsi="Georgia"/>
          <w:b/>
          <w:bCs/>
          <w:color w:val="B00020"/>
          <w:sz w:val="22"/>
          <w:szCs w:val="22"/>
        </w:rPr>
        <w:t xml:space="preserve">[MUNICIPIO]</w:t>
      </w:r>
      <w:r>
        <w:rPr>
          <w:rFonts w:ascii="Georgia" w:cs="Georgia" w:eastAsia="Georgia" w:hAnsi="Georgia"/>
          <w:sz w:val="22"/>
          <w:szCs w:val="22"/>
        </w:rPr>
        <w:t xml:space="preserve">), </w:t>
      </w:r>
      <w:r>
        <w:rPr>
          <w:rFonts w:ascii="Georgia" w:cs="Georgia" w:eastAsia="Georgia" w:hAnsi="Georgia"/>
          <w:b/>
          <w:bCs/>
          <w:color w:val="B00020"/>
          <w:sz w:val="22"/>
          <w:szCs w:val="22"/>
        </w:rPr>
        <w:t xml:space="preserve">[desde el año XXXX / adquirida por herencia familiar]</w:t>
      </w:r>
      <w:r>
        <w:rPr>
          <w:rFonts w:ascii="Georgia" w:cs="Georgia" w:eastAsia="Georgia" w:hAnsi="Georgia"/>
          <w:sz w:val="22"/>
          <w:szCs w:val="22"/>
        </w:rPr>
        <w:t xml:space="preserve">, en un núcleo residencial deslindado por Orden Ministerial de </w:t>
      </w:r>
      <w:r>
        <w:rPr>
          <w:rFonts w:ascii="Georgia" w:cs="Georgia" w:eastAsia="Georgia" w:hAnsi="Georgia"/>
          <w:b/>
          <w:bCs/>
          <w:color w:val="B00020"/>
          <w:sz w:val="22"/>
          <w:szCs w:val="22"/>
        </w:rPr>
        <w:t xml:space="preserve">[FECHA DEL DESLINDE, si se conoce]</w:t>
      </w:r>
      <w:r>
        <w:rPr>
          <w:rFonts w:ascii="Georgia" w:cs="Georgia" w:eastAsia="Georgia" w:hAnsi="Georgia"/>
          <w:sz w:val="22"/>
          <w:szCs w:val="22"/>
        </w:rPr>
        <w:t xml:space="preserve">, en el tramo de costa comprendido entre el puerto de Castellón y el puerto de Sagunto. Es interesado/a en este procedimiento (artículo 4 de la Ley 39/2015).</w:t>
      </w:r>
    </w:p>
    <w:p>
      <w:pPr>
        <w:pStyle w:val="ListParagraph"/>
        <w:numPr>
          <w:ilvl w:val="0"/>
          <w:numId w:val="2"/>
        </w:numPr>
        <w:spacing w:after="110" w:line="290"/>
        <w:jc w:val="both"/>
      </w:pPr>
      <w:r>
        <w:rPr>
          <w:rFonts w:ascii="Georgia" w:cs="Georgia" w:eastAsia="Georgia" w:hAnsi="Georgia"/>
          <w:sz w:val="22"/>
          <w:szCs w:val="22"/>
        </w:rPr>
        <w:t xml:space="preserve">Que el artículo 4 del proyecto da nueva redacción al artículo 4 del Reglamento General de Costas: sustituye el criterio vigente para fijar el límite interior de la zona marítimo-terrestre —el alcance de las olas repetido "al menos en 5 ocasiones en un periodo de 5 años", salvo mejor evidencia científica— por "las máximas olas registradas o calculadas" "desde que existan registros", sin recurrencia, sin límite temporal, sin metodología y sin régimen transitorio; y amplía las dunas incluidas en la playa. Es el texto literal del Real Decreto 668/2022, anulado por el Tribunal Supremo el 31 de enero de 2024. Con ese criterio, el alcance de una sola ola extraordinaria fijaría para siempre el límite de mi propiedad. La disposición adicional única añade una nota registral de zona inundable que afectará a la venta, la hipoteca y el seguro de mi vivienda.</w:t>
      </w:r>
    </w:p>
    <w:p>
      <w:pPr>
        <w:spacing w:before="120"/>
        <w:jc w:val="both"/>
      </w:pPr>
      <w:r>
        <w:rPr>
          <w:rFonts w:ascii="Georgia" w:cs="Georgia" w:eastAsia="Georgia" w:hAnsi="Georgia"/>
          <w:sz w:val="22"/>
          <w:szCs w:val="22"/>
        </w:rPr>
        <w:t xml:space="preserve">Por ello, formula las siguientes</w:t>
      </w:r>
    </w:p>
    <w:p>
      <w:pPr>
        <w:spacing w:after="160"/>
        <w:jc w:val="center"/>
      </w:pPr>
      <w:r>
        <w:rPr>
          <w:rFonts w:ascii="Georgia" w:cs="Georgia" w:eastAsia="Georgia" w:hAnsi="Georgia"/>
          <w:b/>
          <w:bCs/>
          <w:sz w:val="22"/>
          <w:szCs w:val="22"/>
        </w:rPr>
        <w:t xml:space="preserve">ALEGACIONES</w:t>
      </w:r>
    </w:p>
    <w:p>
      <w:pPr>
        <w:pStyle w:val="Heading2"/>
        <w:keepNext/>
        <w:spacing w:after="110" w:before="260"/>
      </w:pPr>
      <w:r>
        <w:rPr>
          <w:rFonts w:ascii="Georgia" w:cs="Georgia" w:eastAsia="Georgia" w:hAnsi="Georgia"/>
          <w:b/>
          <w:bCs/>
          <w:color w:val="16293F"/>
          <w:sz w:val="22"/>
          <w:szCs w:val="22"/>
        </w:rPr>
        <w:t xml:space="preserve">PRIMERA. Omisión de la consulta pública previa sobre la modificación del Reglamento General de Costas. Reproducción del vicio que anuló el Real Decreto 668/2022</w:t>
      </w:r>
    </w:p>
    <w:p>
      <w:pPr>
        <w:spacing w:after="140" w:line="300"/>
        <w:jc w:val="both"/>
      </w:pPr>
      <w:r>
        <w:rPr>
          <w:rFonts w:ascii="Georgia" w:cs="Georgia" w:eastAsia="Georgia" w:hAnsi="Georgia"/>
          <w:sz w:val="22"/>
          <w:szCs w:val="22"/>
        </w:rPr>
        <w:t xml:space="preserve">El artículo 26.2 de la Ley 50/1997 y el artículo 133 de la Ley 39/2015 exigen una consulta pública previa sobre los problemas a resolver, la necesidad de la norma, sus objetivos y las alternativas. La consulta previa de este real decreto (31 de marzo – 19 de abril de 2025) versó exclusivamente sobre inundaciones fluviales y pluviales: </w:t>
      </w:r>
      <w:r>
        <w:rPr>
          <w:rFonts w:ascii="Georgia" w:cs="Georgia" w:eastAsia="Georgia" w:hAnsi="Georgia"/>
          <w:b/>
          <w:bCs/>
          <w:sz w:val="22"/>
          <w:szCs w:val="22"/>
        </w:rPr>
        <w:t xml:space="preserve">no mencionó el dominio público marítimo-terrestre, los deslindes, las playas ni las dunas</w:t>
      </w:r>
      <w:r>
        <w:rPr>
          <w:rFonts w:ascii="Georgia" w:cs="Georgia" w:eastAsia="Georgia" w:hAnsi="Georgia"/>
          <w:sz w:val="22"/>
          <w:szCs w:val="22"/>
        </w:rPr>
        <w:t xml:space="preserve">; el Reglamento General de Costas solo aparecía citado como normativa vigente. Tampoco la nota de prensa de 16 de julio de 2026 ni el título del proyecto aluden a esa modificación. Se reproduce así, respecto del artículo 4, el mismo vicio por el que la Sentencia del Tribunal Supremo de 31 de enero de 2024 (recurso 911/2022) anuló el Real Decreto 668/2022, que contenía </w:t>
      </w:r>
      <w:r>
        <w:rPr>
          <w:rFonts w:ascii="Georgia" w:cs="Georgia" w:eastAsia="Georgia" w:hAnsi="Georgia"/>
          <w:b/>
          <w:bCs/>
          <w:sz w:val="22"/>
          <w:szCs w:val="22"/>
        </w:rPr>
        <w:t xml:space="preserve">literalmente este mismo texto</w:t>
      </w:r>
      <w:r>
        <w:rPr>
          <w:rFonts w:ascii="Georgia" w:cs="Georgia" w:eastAsia="Georgia" w:hAnsi="Georgia"/>
          <w:sz w:val="22"/>
          <w:szCs w:val="22"/>
        </w:rPr>
        <w:t xml:space="preserve">: la ausencia de consulta previa sobre la materia efectivamente regulada, que "en modo alguno tiene naturaleza organizativa o presupuestaria". Reintroducir un texto anulado por defecto de procedimiento en un procedimiento ajeno, cuya consulta previa no lo contempló, incurre en la nulidad del artículo 47.2 de la Ley 39/2015 y vulnera el artículo 8 del Convenio de Aarhus y el principio de transparencia del artículo 129.5 de la Ley 39/2015.</w:t>
      </w:r>
    </w:p>
    <w:p>
      <w:pPr>
        <w:pStyle w:val="Heading2"/>
        <w:keepNext/>
        <w:spacing w:after="110" w:before="260"/>
      </w:pPr>
      <w:r>
        <w:rPr>
          <w:rFonts w:ascii="Georgia" w:cs="Georgia" w:eastAsia="Georgia" w:hAnsi="Georgia"/>
          <w:b/>
          <w:bCs/>
          <w:color w:val="16293F"/>
          <w:sz w:val="22"/>
          <w:szCs w:val="22"/>
        </w:rPr>
        <w:t xml:space="preserve">SEGUNDA. Ausencia de Memoria del Análisis de Impacto Normativo y de motivación</w:t>
      </w:r>
    </w:p>
    <w:p>
      <w:pPr>
        <w:spacing w:after="140" w:line="300"/>
        <w:jc w:val="both"/>
      </w:pPr>
      <w:r>
        <w:rPr>
          <w:rFonts w:ascii="Georgia" w:cs="Georgia" w:eastAsia="Georgia" w:hAnsi="Georgia"/>
          <w:sz w:val="22"/>
          <w:szCs w:val="22"/>
        </w:rPr>
        <w:t xml:space="preserve">En el portal de participación pública solo figura el texto del proyecto. </w:t>
      </w:r>
      <w:r>
        <w:rPr>
          <w:rFonts w:ascii="Georgia" w:cs="Georgia" w:eastAsia="Georgia" w:hAnsi="Georgia"/>
          <w:b/>
          <w:bCs/>
          <w:sz w:val="22"/>
          <w:szCs w:val="22"/>
        </w:rPr>
        <w:t xml:space="preserve">No consta publicada la Memoria del Análisis de Impacto Normativo</w:t>
      </w:r>
      <w:r>
        <w:rPr>
          <w:rFonts w:ascii="Georgia" w:cs="Georgia" w:eastAsia="Georgia" w:hAnsi="Georgia"/>
          <w:sz w:val="22"/>
          <w:szCs w:val="22"/>
        </w:rPr>
        <w:t xml:space="preserve"> exigida por el artículo 26.3 de la Ley 50/1997 y el Real Decreto 931/2017, ni estudio alguno que justifique el cambio de criterio, cuantifique la superficie que pasaría al dominio público o identifique las viviendas, municipios y actividades afectados. El preámbulo dedica a la modificación un solo párrafo que se limita a decir que se "recupera" una regulación. En 2022 el mismo texto se tramitó con Memoria e informe de la Oficina de Coordinación y Calidad Normativa, y el Tribunal Supremo consideró que la Memoria infravaloraba sus efectos; ahora se reintroduce sin Memoria alguna. Ello vulnera los principios de necesidad, proporcionalidad y seguridad jurídica del artículo 129 de la Ley 39/2015 y priva a los interesados de los elementos indispensables para alegar.</w:t>
      </w:r>
    </w:p>
    <w:p>
      <w:pPr>
        <w:pStyle w:val="Heading2"/>
        <w:keepNext/>
        <w:spacing w:after="110" w:before="260"/>
      </w:pPr>
      <w:r>
        <w:rPr>
          <w:rFonts w:ascii="Georgia" w:cs="Georgia" w:eastAsia="Georgia" w:hAnsi="Georgia"/>
          <w:b/>
          <w:bCs/>
          <w:color w:val="16293F"/>
          <w:sz w:val="22"/>
          <w:szCs w:val="22"/>
        </w:rPr>
        <w:t xml:space="preserve">TERCERA. Infracción de la reserva de ley (artículo 132.2 CE) y del artículo 3.1.a) de la Ley de Costas</w:t>
      </w:r>
    </w:p>
    <w:p>
      <w:pPr>
        <w:spacing w:after="140" w:line="300"/>
        <w:jc w:val="both"/>
      </w:pPr>
      <w:r>
        <w:rPr>
          <w:rFonts w:ascii="Georgia" w:cs="Georgia" w:eastAsia="Georgia" w:hAnsi="Georgia"/>
          <w:sz w:val="22"/>
          <w:szCs w:val="22"/>
        </w:rPr>
        <w:t xml:space="preserve">La Ley define la zona marítimo-terrestre por el alcance de las olas "en los mayores temporales conocidos" y remite al reglamento solo los criterios técnicos para concretarlo. La STC 233/2015 (FJ 3) avaló esa remisión porque la Ley "no altera en modo alguno el criterio sustantivo" y porque el reglamento debía "incrementar las garantías de rigor, objetividad y homogeneidad en la práctica de los deslindes". El Consejo de Estado, en su dictamen 705/2014, señaló que se trataba de "determinar los máximos temporales ordinarios de carácter cíclico excluidos los fenómenos [...] extraordinarios", calificó el criterio de cinco ocasiones en cinco años de "técnico y razonable" y advirtió que cambiarlo "habría exigido un cambio del propio concepto en la Ley". El proyecto sustituye los </w:t>
      </w:r>
      <w:r>
        <w:rPr>
          <w:rFonts w:ascii="Georgia" w:cs="Georgia" w:eastAsia="Georgia" w:hAnsi="Georgia"/>
          <w:b/>
          <w:bCs/>
          <w:sz w:val="22"/>
          <w:szCs w:val="22"/>
        </w:rPr>
        <w:t xml:space="preserve">temporales</w:t>
      </w:r>
      <w:r>
        <w:rPr>
          <w:rFonts w:ascii="Georgia" w:cs="Georgia" w:eastAsia="Georgia" w:hAnsi="Georgia"/>
          <w:sz w:val="22"/>
          <w:szCs w:val="22"/>
        </w:rPr>
        <w:t xml:space="preserve"> (plural, recurrentes, conocidos) por </w:t>
      </w:r>
      <w:r>
        <w:rPr>
          <w:rFonts w:ascii="Georgia" w:cs="Georgia" w:eastAsia="Georgia" w:hAnsi="Georgia"/>
          <w:b/>
          <w:bCs/>
          <w:sz w:val="22"/>
          <w:szCs w:val="22"/>
        </w:rPr>
        <w:t xml:space="preserve">la máxima ola registrada o calculada</w:t>
      </w:r>
      <w:r>
        <w:rPr>
          <w:rFonts w:ascii="Georgia" w:cs="Georgia" w:eastAsia="Georgia" w:hAnsi="Georgia"/>
          <w:sz w:val="22"/>
          <w:szCs w:val="22"/>
        </w:rPr>
        <w:t xml:space="preserve"> de una serie indefinida: una ola individual, incluso solo modelada, que amplía de facto el dominio público en todo el litoral y obliga a revisar los deslindes vigentes (artículo 13 bis de la Ley de Costas). Ese resultado solo puede alcanzarlo una ley, como hicieron la Ley 22/1988 y la Ley 2/2013 con garantías transitorias que el Tribunal Constitucional consideró determinantes para respetar el artículo 33.3 CE (STC 149/1991).</w:t>
      </w:r>
    </w:p>
    <w:p>
      <w:pPr>
        <w:pStyle w:val="Heading2"/>
        <w:keepNext/>
        <w:spacing w:after="110" w:before="260"/>
      </w:pPr>
      <w:r>
        <w:rPr>
          <w:rFonts w:ascii="Georgia" w:cs="Georgia" w:eastAsia="Georgia" w:hAnsi="Georgia"/>
          <w:b/>
          <w:bCs/>
          <w:color w:val="16293F"/>
          <w:sz w:val="22"/>
          <w:szCs w:val="22"/>
        </w:rPr>
        <w:t xml:space="preserve">CUARTA. Inseguridad jurídica, indeterminación técnica y retroactividad del criterio de la "máxima ola"</w:t>
      </w:r>
    </w:p>
    <w:p>
      <w:pPr>
        <w:spacing w:after="140" w:line="300"/>
        <w:jc w:val="both"/>
      </w:pPr>
      <w:r>
        <w:rPr>
          <w:rFonts w:ascii="Georgia" w:cs="Georgia" w:eastAsia="Georgia" w:hAnsi="Georgia"/>
          <w:sz w:val="22"/>
          <w:szCs w:val="22"/>
        </w:rPr>
        <w:t xml:space="preserve">"Desde que existan registros" no fija periodo alguno. Las series de reanálisis SIMAR de Puertos del Estado arrancan en 1958 y, según su propia documentación técnica, "no son homogéneas pues los modelos [...] se van modificando de modo periódico" y "tienden a subestimar los picos [...] en situaciones de temporal muy extremo". La boya de Valencia registró 8,44 metros de altura significante durante la borrasca Gloria (20 de enero de 2020), récord del Mediterráneo occidental según AEMET, cifra que el propio régimen extremal de Puertos del Estado asocia a un periodo de retorno de unos 50 años. Con el criterio proyectado, el alcance en tierra de ese único episodio —calculado además por fórmulas de remonte y pendientes de playa variables, sin metodología reglada— fijaría de modo permanente el límite del dominio público: </w:t>
      </w:r>
      <w:r>
        <w:rPr>
          <w:rFonts w:ascii="Georgia" w:cs="Georgia" w:eastAsia="Georgia" w:hAnsi="Georgia"/>
          <w:b/>
          <w:bCs/>
          <w:sz w:val="22"/>
          <w:szCs w:val="22"/>
        </w:rPr>
        <w:t xml:space="preserve">una sola ola, una sola vez, para siempre</w:t>
      </w:r>
      <w:r>
        <w:rPr>
          <w:rFonts w:ascii="Georgia" w:cs="Georgia" w:eastAsia="Georgia" w:hAnsi="Georgia"/>
          <w:sz w:val="22"/>
          <w:szCs w:val="22"/>
        </w:rPr>
        <w:t xml:space="preserve">. Se suprime la cláusula de "mejor evidencia científica", no hay régimen transitorio y el proyecto entra en vigor al día siguiente de su publicación, de modo que se aplicaría a deslindes ya aprobados y a títulos ya reconocidos: retroactividad de una disposición restrictiva de derechos, proscrita por el artículo 9.3 CE y sancionada con nulidad por el artículo 47.2 de la Ley 39/2015. La Ley 2/2013 proclamó que "la seguridad jurídica es el pilar que sustenta esta reforma"; el proyecto la desvirtúa por vía reglamentaria.</w:t>
      </w:r>
    </w:p>
    <w:p>
      <w:pPr>
        <w:pStyle w:val="Heading2"/>
        <w:keepNext/>
        <w:spacing w:after="110" w:before="260"/>
      </w:pPr>
      <w:r>
        <w:rPr>
          <w:rFonts w:ascii="Georgia" w:cs="Georgia" w:eastAsia="Georgia" w:hAnsi="Georgia"/>
          <w:b/>
          <w:bCs/>
          <w:color w:val="16293F"/>
          <w:sz w:val="22"/>
          <w:szCs w:val="22"/>
        </w:rPr>
        <w:t xml:space="preserve">QUINTA. La regresión de este litoral tiene causa pública y documentada; la respuesta debe ser regenerar, no deslindar</w:t>
      </w:r>
    </w:p>
    <w:p>
      <w:pPr>
        <w:spacing w:after="140" w:line="300"/>
        <w:jc w:val="both"/>
      </w:pPr>
      <w:r>
        <w:rPr>
          <w:rFonts w:ascii="Georgia" w:cs="Georgia" w:eastAsia="Georgia" w:hAnsi="Georgia"/>
          <w:sz w:val="22"/>
          <w:szCs w:val="22"/>
        </w:rPr>
        <w:t xml:space="preserve">La Estrategia de actuación entre el puerto de Castellón y el puerto de Sagunto (CEDEX, 2015), documento oficial del Ministerio, atribuye la erosión de este tramo a la interrupción del transporte de sedimentos por los puertos de Sagunto (1902), Castellón (1915) y Borriana (1932) y a la retención de arena en los embalses del Mijares, y reconoce que la situación se ha visto "agravada por las regulaciones de los ríos" y que existe "un importante déficit sedimentario". La solución que identifica es la gestión del sedimento en toda la unidad. Once años después, esa Estrategia no se ha ejecutado de forma integral y lo realizado es puntual e insuficiente; no hay trasvase permanente de arena en los puertos ni balance sedimentario. Un criterio de deslinde que hace avanzar el dominio público cuanto más retrocede la playa produce un efecto perverso: </w:t>
      </w:r>
      <w:r>
        <w:rPr>
          <w:rFonts w:ascii="Georgia" w:cs="Georgia" w:eastAsia="Georgia" w:hAnsi="Georgia"/>
          <w:b/>
          <w:bCs/>
          <w:sz w:val="22"/>
          <w:szCs w:val="22"/>
        </w:rPr>
        <w:t xml:space="preserve">cuanto menos regenere la Administración, más suelo adquiere</w:t>
      </w:r>
      <w:r>
        <w:rPr>
          <w:rFonts w:ascii="Georgia" w:cs="Georgia" w:eastAsia="Georgia" w:hAnsi="Georgia"/>
          <w:sz w:val="22"/>
          <w:szCs w:val="22"/>
        </w:rPr>
        <w:t xml:space="preserve">. Ello contradice el principio de que nadie puede beneficiarse de su propio incumplimiento, la doctrina de los actos propios, la responsabilidad patrimonial de la Administración (artículo 106.2 CE y artículo 32 de la Ley 40/2015), la buena fe y la confianza legítima (artículo 3.1.e) de la Ley 40/2015), la garantía expropiatoria (artículo 33.3 CE) y el deber de "defender y restaurar" el medio ambiente (artículo 45 CE). El deslinde es un acto declarativo (artículo 11 de la Ley de Costas), no un instrumento de adaptación al cambio climático: para eso existen la declaración de regresión grave (artículo 13 ter), la Estrategia de Adaptación al Cambio Climático de la Costa Española (2017) y los planes del Real Decreto 903/2010.</w:t>
      </w:r>
    </w:p>
    <w:p>
      <w:pPr>
        <w:pStyle w:val="Heading2"/>
        <w:keepNext/>
        <w:spacing w:after="110" w:before="260"/>
      </w:pPr>
      <w:r>
        <w:rPr>
          <w:rFonts w:ascii="Georgia" w:cs="Georgia" w:eastAsia="Georgia" w:hAnsi="Georgia"/>
          <w:b/>
          <w:bCs/>
          <w:color w:val="16293F"/>
          <w:sz w:val="22"/>
          <w:szCs w:val="22"/>
        </w:rPr>
        <w:t xml:space="preserve">SEXTA. Incompatibilidad con el Derecho de la Unión Europea y los convenios internacionales</w:t>
      </w:r>
    </w:p>
    <w:p>
      <w:pPr>
        <w:spacing w:after="140" w:line="300"/>
        <w:jc w:val="both"/>
      </w:pPr>
      <w:r>
        <w:rPr>
          <w:rFonts w:ascii="Georgia" w:cs="Georgia" w:eastAsia="Georgia" w:hAnsi="Georgia"/>
          <w:sz w:val="22"/>
          <w:szCs w:val="22"/>
        </w:rPr>
        <w:t xml:space="preserve">El </w:t>
      </w:r>
      <w:r>
        <w:rPr>
          <w:rFonts w:ascii="Georgia" w:cs="Georgia" w:eastAsia="Georgia" w:hAnsi="Georgia"/>
          <w:b/>
          <w:bCs/>
          <w:sz w:val="22"/>
          <w:szCs w:val="22"/>
        </w:rPr>
        <w:t xml:space="preserve">Protocolo de Gestión Integrada de las Zonas Costeras del Mediterráneo</w:t>
      </w:r>
      <w:r>
        <w:rPr>
          <w:rFonts w:ascii="Georgia" w:cs="Georgia" w:eastAsia="Georgia" w:hAnsi="Georgia"/>
          <w:sz w:val="22"/>
          <w:szCs w:val="22"/>
        </w:rPr>
        <w:t xml:space="preserve"> (Convenio de Barcelona; Decisión 2010/631/UE; en vigor para España desde el 24 de marzo de 2011), al que remite el artículo 20.3 de la Ley 7/2021, obliga en su artículo 23 a "mantener o restaurar la capacidad natural de la costa" y, "con respecto a las actividades y estructuras existentes", a "adoptar medidas para reducir al mínimo sus efectos en la erosión costera", incluyendo "medidas especiales para los sedimentos costeros". El </w:t>
      </w:r>
      <w:r>
        <w:rPr>
          <w:rFonts w:ascii="Georgia" w:cs="Georgia" w:eastAsia="Georgia" w:hAnsi="Georgia"/>
          <w:b/>
          <w:bCs/>
          <w:sz w:val="22"/>
          <w:szCs w:val="22"/>
        </w:rPr>
        <w:t xml:space="preserve">Reglamento (UE) 2024/1991</w:t>
      </w:r>
      <w:r>
        <w:rPr>
          <w:rFonts w:ascii="Georgia" w:cs="Georgia" w:eastAsia="Georgia" w:hAnsi="Georgia"/>
          <w:sz w:val="22"/>
          <w:szCs w:val="22"/>
        </w:rPr>
        <w:t xml:space="preserve"> de restauración de la naturaleza obliga a restaurar los hábitats costeros y dunares del anexo I (30 % en 2030, 60 % en 2040, 90 % en 2050) y a no deteriorarlos. La </w:t>
      </w:r>
      <w:r>
        <w:rPr>
          <w:rFonts w:ascii="Georgia" w:cs="Georgia" w:eastAsia="Georgia" w:hAnsi="Georgia"/>
          <w:b/>
          <w:bCs/>
          <w:sz w:val="22"/>
          <w:szCs w:val="22"/>
        </w:rPr>
        <w:t xml:space="preserve">Directiva 2007/60/CE</w:t>
      </w:r>
      <w:r>
        <w:rPr>
          <w:rFonts w:ascii="Georgia" w:cs="Georgia" w:eastAsia="Georgia" w:hAnsi="Georgia"/>
          <w:sz w:val="22"/>
          <w:szCs w:val="22"/>
        </w:rPr>
        <w:t xml:space="preserve"> gestiona el riesgo de inundación —también la marina— mediante mapas, planes y participación, no mediante la alteración de la titularidad. Los principios del </w:t>
      </w:r>
      <w:r>
        <w:rPr>
          <w:rFonts w:ascii="Georgia" w:cs="Georgia" w:eastAsia="Georgia" w:hAnsi="Georgia"/>
          <w:b/>
          <w:bCs/>
          <w:sz w:val="22"/>
          <w:szCs w:val="22"/>
        </w:rPr>
        <w:t xml:space="preserve">artículo 191.2 TFUE</w:t>
      </w:r>
      <w:r>
        <w:rPr>
          <w:rFonts w:ascii="Georgia" w:cs="Georgia" w:eastAsia="Georgia" w:hAnsi="Georgia"/>
          <w:sz w:val="22"/>
          <w:szCs w:val="22"/>
        </w:rPr>
        <w:t xml:space="preserve"> (corrección en la fuente, quien contamina paga) exigen actuar sobre los puertos y embalses que causan la erosión, no sobre la propiedad de quien la sufre. Los </w:t>
      </w:r>
      <w:r>
        <w:rPr>
          <w:rFonts w:ascii="Georgia" w:cs="Georgia" w:eastAsia="Georgia" w:hAnsi="Georgia"/>
          <w:b/>
          <w:bCs/>
          <w:sz w:val="22"/>
          <w:szCs w:val="22"/>
        </w:rPr>
        <w:t xml:space="preserve">artículos 49 y 63 TFUE</w:t>
      </w:r>
      <w:r>
        <w:rPr>
          <w:rFonts w:ascii="Georgia" w:cs="Georgia" w:eastAsia="Georgia" w:hAnsi="Georgia"/>
          <w:sz w:val="22"/>
          <w:szCs w:val="22"/>
        </w:rPr>
        <w:t xml:space="preserve"> protegen a los propietarios e inversores de otros Estados miembros frente a restricciones desproporcionadas de la propiedad costera. Y la </w:t>
      </w:r>
      <w:r>
        <w:rPr>
          <w:rFonts w:ascii="Georgia" w:cs="Georgia" w:eastAsia="Georgia" w:hAnsi="Georgia"/>
          <w:b/>
          <w:bCs/>
          <w:sz w:val="22"/>
          <w:szCs w:val="22"/>
        </w:rPr>
        <w:t xml:space="preserve">Carta de Derechos Fundamentales</w:t>
      </w:r>
      <w:r>
        <w:rPr>
          <w:rFonts w:ascii="Georgia" w:cs="Georgia" w:eastAsia="Georgia" w:hAnsi="Georgia"/>
          <w:sz w:val="22"/>
          <w:szCs w:val="22"/>
        </w:rPr>
        <w:t xml:space="preserve"> (artículo 17, aplicable por el artículo 51.1 al desarrollarse una directiva) y el </w:t>
      </w:r>
      <w:r>
        <w:rPr>
          <w:rFonts w:ascii="Georgia" w:cs="Georgia" w:eastAsia="Georgia" w:hAnsi="Georgia"/>
          <w:b/>
          <w:bCs/>
          <w:sz w:val="22"/>
          <w:szCs w:val="22"/>
        </w:rPr>
        <w:t xml:space="preserve">artículo 1 del Protocolo adicional al CEDH</w:t>
      </w:r>
      <w:r>
        <w:rPr>
          <w:rFonts w:ascii="Georgia" w:cs="Georgia" w:eastAsia="Georgia" w:hAnsi="Georgia"/>
          <w:sz w:val="22"/>
          <w:szCs w:val="22"/>
        </w:rPr>
        <w:t xml:space="preserve"> exigen previsibilidad, justo equilibrio y compensación; el Tribunal Europeo de Derechos Humanos admitió políticas firmes de litoral (</w:t>
      </w:r>
      <w:r>
        <w:rPr>
          <w:rFonts w:ascii="Georgia" w:cs="Georgia" w:eastAsia="Georgia" w:hAnsi="Georgia"/>
          <w:i/>
          <w:iCs/>
          <w:sz w:val="22"/>
          <w:szCs w:val="22"/>
        </w:rPr>
        <w:t xml:space="preserve">Depalle c. Francia</w:t>
      </w:r>
      <w:r>
        <w:rPr>
          <w:rFonts w:ascii="Georgia" w:cs="Georgia" w:eastAsia="Georgia" w:hAnsi="Georgia"/>
          <w:sz w:val="22"/>
          <w:szCs w:val="22"/>
        </w:rPr>
        <w:t xml:space="preserve">, 2010) precisamente porque los afectados "siempre supieron" que sus títulos eran precarios, lo contrario de la situación de titulares con deslindes de hace medio siglo y derechos reconocidos por dos leyes.</w:t>
      </w:r>
    </w:p>
    <w:p>
      <w:pPr>
        <w:pStyle w:val="Heading2"/>
        <w:keepNext/>
        <w:spacing w:after="110" w:before="260"/>
      </w:pPr>
      <w:r>
        <w:rPr>
          <w:rFonts w:ascii="Georgia" w:cs="Georgia" w:eastAsia="Georgia" w:hAnsi="Georgia"/>
          <w:b/>
          <w:bCs/>
          <w:color w:val="16293F"/>
          <w:sz w:val="22"/>
          <w:szCs w:val="22"/>
        </w:rPr>
        <w:t xml:space="preserve">SÉPTIMA. Dunas (letra c del artículo 4 proyectado)</w:t>
      </w:r>
    </w:p>
    <w:p>
      <w:pPr>
        <w:spacing w:after="140" w:line="300"/>
        <w:jc w:val="both"/>
      </w:pPr>
      <w:r>
        <w:rPr>
          <w:rFonts w:ascii="Georgia" w:cs="Georgia" w:eastAsia="Georgia" w:hAnsi="Georgia"/>
          <w:sz w:val="22"/>
          <w:szCs w:val="22"/>
        </w:rPr>
        <w:t xml:space="preserve">La Ley (artículo 3.1.b) incluye las dunas en la playa "hasta el límite que resulte necesario para garantizar la estabilidad de la playa y la defensa de la costa": un criterio de necesidad actual. El proyecto invierte la regla vigente —que distingue dunas en desarrollo, primarias y secundarias de las relictas y estabilizadas—, incluye con carácter general las "dunas fijadas por vegetación" y solo excluye las que carezcan de vinculación "actual </w:t>
      </w:r>
      <w:r>
        <w:rPr>
          <w:rFonts w:ascii="Georgia" w:cs="Georgia" w:eastAsia="Georgia" w:hAnsi="Georgia"/>
          <w:b/>
          <w:bCs/>
          <w:sz w:val="22"/>
          <w:szCs w:val="22"/>
        </w:rPr>
        <w:t xml:space="preserve">ni futura</w:t>
      </w:r>
      <w:r>
        <w:rPr>
          <w:rFonts w:ascii="Georgia" w:cs="Georgia" w:eastAsia="Georgia" w:hAnsi="Georgia"/>
          <w:sz w:val="22"/>
          <w:szCs w:val="22"/>
        </w:rPr>
        <w:t xml:space="preserve">" con la playa "teniendo en cuenta [...] los efectos del cambio climático". Introduce así un juicio prospectivo e hipotético que la Ley no autoriza, suprime la cláusula de evidencia científica y elimina las categorías técnicas que daban objetividad al criterio. La protección de los sistemas dunares pasa por su restauración activa, que exige el Reglamento (UE) 2024/1991, no por su demanialización sobre el papel.</w:t>
      </w:r>
    </w:p>
    <w:p>
      <w:pPr>
        <w:pStyle w:val="Heading2"/>
        <w:keepNext/>
        <w:spacing w:after="110" w:before="260"/>
      </w:pPr>
      <w:r>
        <w:rPr>
          <w:rFonts w:ascii="Georgia" w:cs="Georgia" w:eastAsia="Georgia" w:hAnsi="Georgia"/>
          <w:b/>
          <w:bCs/>
          <w:color w:val="16293F"/>
          <w:sz w:val="22"/>
          <w:szCs w:val="22"/>
        </w:rPr>
        <w:t xml:space="preserve">OCTAVA. Impacto sobre las viviendas, el tráfico jurídico y las Administraciones territoriales</w:t>
      </w:r>
    </w:p>
    <w:p>
      <w:pPr>
        <w:spacing w:after="140" w:line="300"/>
        <w:jc w:val="both"/>
      </w:pPr>
      <w:r>
        <w:rPr>
          <w:rFonts w:ascii="Georgia" w:cs="Georgia" w:eastAsia="Georgia" w:hAnsi="Georgia"/>
          <w:sz w:val="22"/>
          <w:szCs w:val="22"/>
        </w:rPr>
        <w:t xml:space="preserve">La aplicación del nuevo criterio supondría la revisión de los deslindes vigentes (artículo 13 bis), con suspensión de títulos y licencias desde su incoación (artículo 12), la conversión de propiedades en concesiones temporales —activo que se amortiza hasta cero mientras el suelo colindante se revaloriza—, el desplazamiento de la servidumbre de protección y la pérdida de valor, hipotecabilidad y asegurabilidad de las viviendas, que seguirían tributando (IBI, plusvalía, patrimonio) como propiedad plena. A ello se suma la nota registral de zona inundable de la disposición adicional única: doble estigma registral sobre los mismos núcleos. Nada de esto se evalúa en el expediente, no consta audiencia específica a la Generalitat ni a los ayuntamientos costeros sobre esta materia, y la disposición final segunda ni siquiera invoca el artículo 132.2 CE como título competencial. El Reglamento General de Costas es un reglamento ejecutivo y su modificación requiere dictamen preceptivo del Consejo de Estado (artículo 22.3 de la Ley Orgánica 3/1980).</w:t>
      </w:r>
    </w:p>
    <w:p>
      <w:pPr>
        <w:pStyle w:val="Heading2"/>
        <w:keepNext/>
        <w:spacing w:after="110" w:before="260"/>
      </w:pPr>
      <w:r>
        <w:rPr>
          <w:rFonts w:ascii="Georgia" w:cs="Georgia" w:eastAsia="Georgia" w:hAnsi="Georgia"/>
          <w:b/>
          <w:bCs/>
          <w:color w:val="16293F"/>
          <w:sz w:val="22"/>
          <w:szCs w:val="22"/>
        </w:rPr>
        <w:t xml:space="preserve">NOVENA. Incoherencia interna y vulneración del principio de igualdad (artículo 14 CE)</w:t>
      </w:r>
    </w:p>
    <w:p>
      <w:pPr>
        <w:spacing w:after="140" w:line="300"/>
        <w:jc w:val="both"/>
      </w:pPr>
      <w:r>
        <w:rPr>
          <w:rFonts w:ascii="Georgia" w:cs="Georgia" w:eastAsia="Georgia" w:hAnsi="Georgia"/>
          <w:sz w:val="22"/>
          <w:szCs w:val="22"/>
        </w:rPr>
        <w:t xml:space="preserve">El artículo 14.1 del Reglamento del Dominio Público Hidráulico, que este mismo proyecto modifica, dispone que "la calificación como zonas inundables no alterará la calificación jurídica y la titularidad dominical que dichos terrenos tuviesen". Para las zonas inundables fluviales el proyecto cartografía, limita usos y ordena adaptar el planeamiento en cinco años; para la costa, ante el mismo riesgo natural, la respuesta es la pérdida de la propiedad. La Directiva 2007/60/CE define la inundación de forma unitaria, incluyendo la "causada por el mar en las zonas costeras". Esa diferencia de trato entre propietarios expuestos a un mismo riesgo, sin justificación objetiva en el expediente, es contraria al artículo 14 CE. La inundación costera ya tiene su instrumento en el Real Decreto 903/2010; si el Ministerio considera que un suelo está expuesto, la respuesta coherente es cartografiarlo como inundable y regular sus usos, no demanializarlo.</w:t>
      </w:r>
    </w:p>
    <w:p>
      <w:pPr>
        <w:pStyle w:val="Heading2"/>
        <w:keepNext/>
        <w:spacing w:after="110" w:before="260"/>
      </w:pPr>
      <w:r>
        <w:rPr>
          <w:rFonts w:ascii="Georgia" w:cs="Georgia" w:eastAsia="Georgia" w:hAnsi="Georgia"/>
          <w:b/>
          <w:bCs/>
          <w:color w:val="16293F"/>
          <w:sz w:val="22"/>
          <w:szCs w:val="22"/>
        </w:rPr>
        <w:t xml:space="preserve">DÉCIMA. Disposición adicional única: nota registral de zona inundable</w:t>
      </w:r>
    </w:p>
    <w:p>
      <w:pPr>
        <w:spacing w:after="140" w:line="300"/>
        <w:jc w:val="both"/>
      </w:pPr>
      <w:r>
        <w:rPr>
          <w:rFonts w:ascii="Georgia" w:cs="Georgia" w:eastAsia="Georgia" w:hAnsi="Georgia"/>
          <w:sz w:val="22"/>
          <w:szCs w:val="22"/>
        </w:rPr>
        <w:t xml:space="preserve">Quien suscribe no se opone a que el comprador conozca la exposición al riesgo de una vivienda. Se opone a que esa carga se imponga sobre la base de una cartografía costera de modelización con incertidumbres reconocidas, no sometida a información pública con efectos registrales, que no distingue el suelo urbano consolidado del rústico, sin procedimiento de rectificación a instancia del propietario y sin obligación correlativa de la Administración de ejecutar las medidas de protección planificadas. Se solicita que la disposición excluya o matice la nota marginal en suelo urbano consolidado, establezca un procedimiento de rectificación de la cartografía con informe técnico contradictorio y vincule la afección registral a un programa de medidas de protección con calendario y dotación.</w:t>
      </w:r>
    </w:p>
    <w:p>
      <w:pPr>
        <w:pStyle w:val="Heading2"/>
        <w:keepNext/>
        <w:spacing w:after="110" w:before="260"/>
      </w:pPr>
      <w:r>
        <w:rPr>
          <w:rFonts w:ascii="Georgia" w:cs="Georgia" w:eastAsia="Georgia" w:hAnsi="Georgia"/>
          <w:b/>
          <w:bCs/>
          <w:color w:val="16293F"/>
          <w:sz w:val="22"/>
          <w:szCs w:val="22"/>
        </w:rPr>
        <w:t xml:space="preserve">UNDÉCIMA. Adhesión a las alegaciones de la Federació Mar Nostra y reserva de acciones</w:t>
      </w:r>
    </w:p>
    <w:p>
      <w:pPr>
        <w:spacing w:after="140" w:line="300"/>
        <w:jc w:val="both"/>
      </w:pPr>
      <w:r>
        <w:rPr>
          <w:rFonts w:ascii="Georgia" w:cs="Georgia" w:eastAsia="Georgia" w:hAnsi="Georgia"/>
          <w:sz w:val="22"/>
          <w:szCs w:val="22"/>
        </w:rPr>
        <w:t xml:space="preserve">Quien suscribe se adhiere íntegramente al escrito de alegaciones presentado en este mismo trámite por la </w:t>
      </w:r>
      <w:r>
        <w:rPr>
          <w:rFonts w:ascii="Georgia" w:cs="Georgia" w:eastAsia="Georgia" w:hAnsi="Georgia"/>
          <w:b/>
          <w:bCs/>
          <w:sz w:val="22"/>
          <w:szCs w:val="22"/>
        </w:rPr>
        <w:t xml:space="preserve">Federació Mar Nostra – Federació per a la Protecció i Regeneració de la Costa</w:t>
      </w:r>
      <w:r>
        <w:rPr>
          <w:rFonts w:ascii="Georgia" w:cs="Georgia" w:eastAsia="Georgia" w:hAnsi="Georgia"/>
          <w:sz w:val="22"/>
          <w:szCs w:val="22"/>
        </w:rPr>
        <w:t xml:space="preserve">, que agrupa a las asociaciones vecinales del litoral entre Almassora y Sagunt, escrito que se acompaña y cuyo contenido se da por reproducido. Las presentes alegaciones se formulan sin perjuicio de las acciones que procedan contra la disposición que finalmente se apruebe, incluido el recurso contencioso-administrativo ante el Tribunal Supremo y la denuncia ante la Comisión Europea, y se solicita que sean objeto de respuesta motivada conforme al artículo 26.6 de la Ley 50/1997 y al artículo 16.1 de la Ley 27/2006.</w:t>
      </w:r>
    </w:p>
    <w:p>
      <w:pPr>
        <w:spacing w:before="160"/>
        <w:jc w:val="both"/>
      </w:pPr>
      <w:r>
        <w:rPr>
          <w:rFonts w:ascii="Georgia" w:cs="Georgia" w:eastAsia="Georgia" w:hAnsi="Georgia"/>
          <w:sz w:val="22"/>
          <w:szCs w:val="22"/>
        </w:rPr>
        <w:t xml:space="preserve">Por todo lo expuesto,</w:t>
      </w:r>
    </w:p>
    <w:p>
      <w:pPr>
        <w:spacing w:after="140" w:line="300"/>
        <w:jc w:val="center"/>
      </w:pPr>
      <w:r>
        <w:rPr>
          <w:rFonts w:ascii="Georgia" w:cs="Georgia" w:eastAsia="Georgia" w:hAnsi="Georgia"/>
          <w:b/>
          <w:bCs/>
          <w:sz w:val="22"/>
          <w:szCs w:val="22"/>
        </w:rPr>
        <w:t xml:space="preserve">SOLICITA</w:t>
      </w:r>
    </w:p>
    <w:p>
      <w:pPr>
        <w:pStyle w:val="ListParagraph"/>
        <w:numPr>
          <w:ilvl w:val="0"/>
          <w:numId w:val="3"/>
        </w:numPr>
        <w:spacing w:after="110" w:line="290"/>
        <w:jc w:val="both"/>
      </w:pPr>
      <w:r>
        <w:rPr>
          <w:rFonts w:ascii="Georgia" w:cs="Georgia" w:eastAsia="Georgia" w:hAnsi="Georgia"/>
          <w:b/>
          <w:bCs/>
          <w:sz w:val="22"/>
          <w:szCs w:val="22"/>
        </w:rPr>
        <w:t xml:space="preserve">Con carácter principal, la supresión íntegra del artículo 4 del proyecto</w:t>
      </w:r>
      <w:r>
        <w:rPr>
          <w:rFonts w:ascii="Georgia" w:cs="Georgia" w:eastAsia="Georgia" w:hAnsi="Georgia"/>
          <w:sz w:val="22"/>
          <w:szCs w:val="22"/>
        </w:rPr>
        <w:t xml:space="preserve">, manteniendo la redacción vigente del artículo 4 del Reglamento General de Costas aprobado por Real Decreto 876/2014.</w:t>
      </w:r>
    </w:p>
    <w:p>
      <w:pPr>
        <w:pStyle w:val="ListParagraph"/>
        <w:numPr>
          <w:ilvl w:val="0"/>
          <w:numId w:val="3"/>
        </w:numPr>
        <w:spacing w:after="110" w:line="290"/>
        <w:jc w:val="both"/>
      </w:pPr>
      <w:r>
        <w:rPr>
          <w:rFonts w:ascii="Georgia" w:cs="Georgia" w:eastAsia="Georgia" w:hAnsi="Georgia"/>
          <w:b/>
          <w:bCs/>
          <w:sz w:val="22"/>
          <w:szCs w:val="22"/>
        </w:rPr>
        <w:t xml:space="preserve">Subsidiariamente</w:t>
      </w:r>
      <w:r>
        <w:rPr>
          <w:rFonts w:ascii="Georgia" w:cs="Georgia" w:eastAsia="Georgia" w:hAnsi="Georgia"/>
          <w:sz w:val="22"/>
          <w:szCs w:val="22"/>
        </w:rPr>
        <w:t xml:space="preserve">, que cualquier modificación de los criterios de deslinde se tramite como procedimiento independiente, con consulta pública previa específica, Memoria del Análisis de Impacto Normativo que cuantifique la superficie, viviendas y municipios afectados, audiencia a las Comunidades Autónomas litorales y a los municipios costeros, y dictamen del Consejo de Estado; y que, en todo caso, mantenga un criterio de recurrencia de los temporales (cinco ocasiones en cinco años o un periodo de retorno definido), excluya los episodios extraordinarios aislados y los valores obtenidos solo por modelización de series no homogéneas, conserve la cláusula de mejor evidencia científica, excluya los tramos cuya regresión sea atribuible a infraestructuras públicas o a la falta de ejecución de actuaciones planificadas, y establezca un régimen transitorio que impida la revisión de los deslindes vigentes por el mero cambio de criterio; y que mantenga la redacción vigente de la letra c) sobre dunas.</w:t>
      </w:r>
    </w:p>
    <w:p>
      <w:pPr>
        <w:pStyle w:val="ListParagraph"/>
        <w:numPr>
          <w:ilvl w:val="0"/>
          <w:numId w:val="3"/>
        </w:numPr>
        <w:spacing w:after="110" w:line="290"/>
        <w:jc w:val="both"/>
      </w:pPr>
      <w:r>
        <w:rPr>
          <w:rFonts w:ascii="Georgia" w:cs="Georgia" w:eastAsia="Georgia" w:hAnsi="Georgia"/>
          <w:sz w:val="22"/>
          <w:szCs w:val="22"/>
        </w:rPr>
        <w:t xml:space="preserve">Que la </w:t>
      </w:r>
      <w:r>
        <w:rPr>
          <w:rFonts w:ascii="Georgia" w:cs="Georgia" w:eastAsia="Georgia" w:hAnsi="Georgia"/>
          <w:b/>
          <w:bCs/>
          <w:sz w:val="22"/>
          <w:szCs w:val="22"/>
        </w:rPr>
        <w:t xml:space="preserve">disposición adicional única</w:t>
      </w:r>
      <w:r>
        <w:rPr>
          <w:rFonts w:ascii="Georgia" w:cs="Georgia" w:eastAsia="Georgia" w:hAnsi="Georgia"/>
          <w:sz w:val="22"/>
          <w:szCs w:val="22"/>
        </w:rPr>
        <w:t xml:space="preserve"> excluya o matice la nota registral de zona inundable en el suelo urbano consolidado, establezca un procedimiento de rectificación de la cartografía a instancia del interesado y vincule la afección registral a un programa de medidas de protección con calendario y dotación.</w:t>
      </w:r>
    </w:p>
    <w:p>
      <w:pPr>
        <w:pStyle w:val="ListParagraph"/>
        <w:numPr>
          <w:ilvl w:val="0"/>
          <w:numId w:val="3"/>
        </w:numPr>
        <w:spacing w:after="110" w:line="290"/>
        <w:jc w:val="both"/>
      </w:pPr>
      <w:r>
        <w:rPr>
          <w:rFonts w:ascii="Georgia" w:cs="Georgia" w:eastAsia="Georgia" w:hAnsi="Georgia"/>
          <w:sz w:val="22"/>
          <w:szCs w:val="22"/>
        </w:rPr>
        <w:t xml:space="preserve">Que se </w:t>
      </w:r>
      <w:r>
        <w:rPr>
          <w:rFonts w:ascii="Georgia" w:cs="Georgia" w:eastAsia="Georgia" w:hAnsi="Georgia"/>
          <w:b/>
          <w:bCs/>
          <w:sz w:val="22"/>
          <w:szCs w:val="22"/>
        </w:rPr>
        <w:t xml:space="preserve">publique la Memoria del Análisis de Impacto Normativo</w:t>
      </w:r>
      <w:r>
        <w:rPr>
          <w:rFonts w:ascii="Georgia" w:cs="Georgia" w:eastAsia="Georgia" w:hAnsi="Georgia"/>
          <w:sz w:val="22"/>
          <w:szCs w:val="22"/>
        </w:rPr>
        <w:t xml:space="preserve">, se incorporen al expediente el informe de la Oficina de Coordinación y Calidad Normativa y las alegaciones de 2022, y se </w:t>
      </w:r>
      <w:r>
        <w:rPr>
          <w:rFonts w:ascii="Georgia" w:cs="Georgia" w:eastAsia="Georgia" w:hAnsi="Georgia"/>
          <w:b/>
          <w:bCs/>
          <w:sz w:val="22"/>
          <w:szCs w:val="22"/>
        </w:rPr>
        <w:t xml:space="preserve">reabra el plazo de audiencia</w:t>
      </w:r>
      <w:r>
        <w:rPr>
          <w:rFonts w:ascii="Georgia" w:cs="Georgia" w:eastAsia="Georgia" w:hAnsi="Georgia"/>
          <w:sz w:val="22"/>
          <w:szCs w:val="22"/>
        </w:rPr>
        <w:t xml:space="preserve"> respecto de la modificación del Reglamento General de Costas.</w:t>
      </w:r>
    </w:p>
    <w:p>
      <w:pPr>
        <w:pStyle w:val="ListParagraph"/>
        <w:keepNext/>
        <w:numPr>
          <w:ilvl w:val="0"/>
          <w:numId w:val="3"/>
        </w:numPr>
        <w:spacing w:after="110" w:line="290"/>
        <w:jc w:val="both"/>
      </w:pPr>
      <w:r>
        <w:rPr>
          <w:rFonts w:ascii="Georgia" w:cs="Georgia" w:eastAsia="Georgia" w:hAnsi="Georgia"/>
          <w:sz w:val="22"/>
          <w:szCs w:val="22"/>
        </w:rPr>
        <w:t xml:space="preserve">Que se me tenga por </w:t>
      </w:r>
      <w:r>
        <w:rPr>
          <w:rFonts w:ascii="Georgia" w:cs="Georgia" w:eastAsia="Georgia" w:hAnsi="Georgia"/>
          <w:b/>
          <w:bCs/>
          <w:sz w:val="22"/>
          <w:szCs w:val="22"/>
        </w:rPr>
        <w:t xml:space="preserve">interesado/a</w:t>
      </w:r>
      <w:r>
        <w:rPr>
          <w:rFonts w:ascii="Georgia" w:cs="Georgia" w:eastAsia="Georgia" w:hAnsi="Georgia"/>
          <w:sz w:val="22"/>
          <w:szCs w:val="22"/>
        </w:rPr>
        <w:t xml:space="preserve">, se me notifique la resolución motivada que recaiga sobre estas alegaciones y se impulse la ejecución integral de la Estrategia de 2015 y la gestión del sedimento retenido en los puertos y embalses, como verdadera medida de adaptación de este litoral al cambio climático.</w:t>
      </w:r>
    </w:p>
    <w:p>
      <w:pPr>
        <w:keepNext/>
        <w:spacing w:after="60"/>
      </w:pPr>
      <w:r>
        <w:rPr>
          <w:rFonts w:ascii="Georgia" w:cs="Georgia" w:eastAsia="Georgia" w:hAnsi="Georgia"/>
          <w:sz w:val="22"/>
          <w:szCs w:val="22"/>
        </w:rPr>
        <w:t xml:space="preserve"/>
      </w:r>
    </w:p>
    <w:p>
      <w:pPr>
        <w:keepNext/>
        <w:spacing w:after="140" w:line="300"/>
        <w:jc w:val="left"/>
      </w:pPr>
      <w:r>
        <w:rPr>
          <w:rFonts w:ascii="Georgia" w:cs="Georgia" w:eastAsia="Georgia" w:hAnsi="Georgia"/>
          <w:sz w:val="22"/>
          <w:szCs w:val="22"/>
        </w:rPr>
        <w:t xml:space="preserve">En </w:t>
      </w:r>
      <w:r>
        <w:rPr>
          <w:rFonts w:ascii="Georgia" w:cs="Georgia" w:eastAsia="Georgia" w:hAnsi="Georgia"/>
          <w:b/>
          <w:bCs/>
          <w:color w:val="B00020"/>
          <w:sz w:val="22"/>
          <w:szCs w:val="22"/>
        </w:rPr>
        <w:t xml:space="preserve">[MUNICIPIO]</w:t>
      </w:r>
      <w:r>
        <w:rPr>
          <w:rFonts w:ascii="Georgia" w:cs="Georgia" w:eastAsia="Georgia" w:hAnsi="Georgia"/>
          <w:sz w:val="22"/>
          <w:szCs w:val="22"/>
        </w:rPr>
        <w:t xml:space="preserve">, a </w:t>
      </w:r>
      <w:r>
        <w:rPr>
          <w:rFonts w:ascii="Georgia" w:cs="Georgia" w:eastAsia="Georgia" w:hAnsi="Georgia"/>
          <w:b/>
          <w:bCs/>
          <w:color w:val="B00020"/>
          <w:sz w:val="22"/>
          <w:szCs w:val="22"/>
        </w:rPr>
        <w:t xml:space="preserve">[DÍA]</w:t>
      </w:r>
      <w:r>
        <w:rPr>
          <w:rFonts w:ascii="Georgia" w:cs="Georgia" w:eastAsia="Georgia" w:hAnsi="Georgia"/>
          <w:sz w:val="22"/>
          <w:szCs w:val="22"/>
        </w:rPr>
        <w:t xml:space="preserve"> de septiembre de 2026.</w:t>
      </w:r>
    </w:p>
    <w:p>
      <w:pPr>
        <w:keepNext/>
        <w:spacing w:after="60"/>
      </w:pPr>
      <w:r>
        <w:rPr>
          <w:rFonts w:ascii="Georgia" w:cs="Georgia" w:eastAsia="Georgia" w:hAnsi="Georgia"/>
          <w:sz w:val="22"/>
          <w:szCs w:val="22"/>
        </w:rPr>
        <w:t xml:space="preserve"/>
      </w:r>
    </w:p>
    <w:p>
      <w:pPr>
        <w:spacing w:after="140" w:line="300"/>
        <w:jc w:val="left"/>
      </w:pPr>
      <w:r>
        <w:rPr>
          <w:rFonts w:ascii="Georgia" w:cs="Georgia" w:eastAsia="Georgia" w:hAnsi="Georgia"/>
          <w:sz w:val="22"/>
          <w:szCs w:val="22"/>
        </w:rPr>
        <w:t xml:space="preserve">Fdo.: </w:t>
      </w:r>
      <w:r>
        <w:rPr>
          <w:rFonts w:ascii="Georgia" w:cs="Georgia" w:eastAsia="Georgia" w:hAnsi="Georgia"/>
          <w:b/>
          <w:bCs/>
          <w:color w:val="B00020"/>
          <w:sz w:val="22"/>
          <w:szCs w:val="22"/>
        </w:rPr>
        <w:t xml:space="preserve">[NOMBRE Y APELLIDOS]</w:t>
      </w:r>
    </w:p>
    <w:p>
      <w:pPr>
        <w:spacing w:after="140" w:line="300"/>
        <w:jc w:val="left"/>
      </w:pPr>
      <w:r>
        <w:rPr>
          <w:rFonts w:ascii="Georgia" w:cs="Georgia" w:eastAsia="Georgia" w:hAnsi="Georgia"/>
          <w:i/>
          <w:iCs/>
          <w:sz w:val="22"/>
          <w:szCs w:val="22"/>
        </w:rPr>
        <w:t xml:space="preserve">Se acompaña: escrito de alegaciones de la Federació Mar Nostra – Federació per a la Protecció i Regeneració de la Costa.</w:t>
      </w:r>
    </w:p>
    <w:sectPr>
      <w:headerReference w:type="default" r:id="rId7"/>
      <w:footerReference w:type="default" r:id="rId8"/>
      <w:pgSz w:w="11906" w:h="16838" w:orient="portrait"/>
      <w:pgMar w:top="1418" w:right="1531" w:bottom="1418"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eorgia" w:cs="Georgia" w:eastAsia="Georgia" w:hAnsi="Georgia"/>
        <w:color w:val="555555"/>
        <w:sz w:val="18"/>
        <w:szCs w:val="18"/>
      </w:rPr>
      <w:t xml:space="preserve">Página </w:t>
    </w:r>
    <w:r>
      <w:rPr>
        <w:rFonts w:ascii="Georgia" w:cs="Georgia" w:eastAsia="Georgia" w:hAnsi="Georgia"/>
        <w:color w:val="555555"/>
        <w:sz w:val="18"/>
        <w:szCs w:val="18"/>
      </w:rPr>
      <w:fldChar w:fldCharType="begin"/>
      <w:instrText xml:space="preserve">PAGE</w:instrText>
      <w:fldChar w:fldCharType="separate"/>
      <w:fldChar w:fldCharType="end"/>
    </w:r>
    <w:r>
      <w:rPr>
        <w:rFonts w:ascii="Georgia" w:cs="Georgia" w:eastAsia="Georgia" w:hAnsi="Georgia"/>
        <w:color w:val="555555"/>
        <w:sz w:val="18"/>
        <w:szCs w:val="18"/>
      </w:rPr>
      <w:t xml:space="preserve"> de </w:t>
    </w:r>
    <w:r>
      <w:rPr>
        <w:rFonts w:ascii="Georgia" w:cs="Georgia" w:eastAsia="Georgia" w:hAnsi="Georgia"/>
        <w:color w:val="555555"/>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999999" w:sz="4" w:space="4"/>
      </w:pBdr>
      <w:jc w:val="right"/>
    </w:pPr>
    <w:r>
      <w:rPr>
        <w:rFonts w:ascii="Georgia" w:cs="Georgia" w:eastAsia="Georgia" w:hAnsi="Georgia"/>
        <w:color w:val="555555"/>
        <w:sz w:val="16"/>
        <w:szCs w:val="16"/>
      </w:rPr>
      <w:t xml:space="preserve">[Vecino/a] · Alegaciones al proyecto de RD de gestión de riesgos de inundación (art. 4: Reglamento General de Costas) · Plazo: 16 de septiembre de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400"/>
      </w:pPr>
    </w:lvl>
  </w:abstractNum>
  <w:abstractNum w:abstractNumId="3" w15:restartNumberingAfterBreak="0">
    <w:multiLevelType w:val="hybridMultilevel"/>
    <w:lvl w:ilvl="0" w15:tentative="1">
      <w:start w:val="1"/>
      <w:numFmt w:val="decimal"/>
      <w:lvlText w:val="%1.º"/>
      <w:lvlJc w:val="left"/>
      <w:pPr>
        <w:ind w:left="720" w:hanging="4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spacing w:after="110" w:before="260"/>
      <w:outlineLvl w:val="1"/>
    </w:pPr>
    <w:rPr>
      <w:rFonts w:ascii="Georgia" w:cs="Georgia" w:eastAsia="Georgia" w:hAnsi="Georgia"/>
      <w:b/>
      <w:bCs/>
      <w:color w:val="16293F"/>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Federació Mar Nostra</dc:creator>
  <cp:lastModifiedBy>Un-named</cp:lastModifiedBy>
  <cp:revision>1</cp:revision>
  <dcterms:created xsi:type="dcterms:W3CDTF">2026-09-13T20:11:35.650Z</dcterms:created>
  <dcterms:modified xsi:type="dcterms:W3CDTF">2026-09-13T20:11:35.650Z</dcterms:modified>
</cp:coreProperties>
</file>

<file path=docProps/custom.xml><?xml version="1.0" encoding="utf-8"?>
<Properties xmlns="http://schemas.openxmlformats.org/officeDocument/2006/custom-properties" xmlns:vt="http://schemas.openxmlformats.org/officeDocument/2006/docPropsVTypes"/>
</file>